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7BCA4" w14:textId="463120E4" w:rsidR="00561F21" w:rsidRDefault="00C1270C" w:rsidP="00091E05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TIÊU CHÍ THI ĐUA </w:t>
      </w:r>
    </w:p>
    <w:p w14:paraId="357EF3EF" w14:textId="047956A3" w:rsidR="00FF621B" w:rsidRDefault="00561F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Công tác truyền thông về giáo dục và đào tạo</w:t>
      </w:r>
      <w:r w:rsidR="00C005B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tương ứng 1%</w:t>
      </w:r>
      <w:r w:rsidR="003B77D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tổng điểm Thi đua</w:t>
      </w:r>
    </w:p>
    <w:tbl>
      <w:tblPr>
        <w:tblStyle w:val="a"/>
        <w:tblW w:w="14125" w:type="dxa"/>
        <w:tblInd w:w="-95" w:type="dxa"/>
        <w:tblLayout w:type="fixed"/>
        <w:tblLook w:val="0400" w:firstRow="0" w:lastRow="0" w:firstColumn="0" w:lastColumn="0" w:noHBand="0" w:noVBand="1"/>
      </w:tblPr>
      <w:tblGrid>
        <w:gridCol w:w="533"/>
        <w:gridCol w:w="3010"/>
        <w:gridCol w:w="990"/>
        <w:gridCol w:w="5088"/>
        <w:gridCol w:w="2562"/>
        <w:gridCol w:w="1942"/>
      </w:tblGrid>
      <w:tr w:rsidR="00561F21" w14:paraId="24DAC943" w14:textId="4CEB11B9" w:rsidTr="004E17A7">
        <w:trPr>
          <w:trHeight w:val="705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ADD239" w14:textId="77777777" w:rsidR="00561F21" w:rsidRDefault="0056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STT</w:t>
            </w: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66A819" w14:textId="77777777" w:rsidR="00561F21" w:rsidRDefault="0056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TIÊU CHÍ THI ĐUA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5945" w14:textId="4C9AF119" w:rsidR="00561F21" w:rsidRDefault="00561F21" w:rsidP="0056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Điểm </w:t>
            </w:r>
          </w:p>
        </w:tc>
        <w:tc>
          <w:tcPr>
            <w:tcW w:w="5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4BCDA7" w14:textId="03CEC6E2" w:rsidR="00561F21" w:rsidRDefault="0056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YÊU CẦU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1D6233" w14:textId="48F54116" w:rsidR="00561F21" w:rsidRDefault="00561F21" w:rsidP="0056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CÁCH TÍNH ĐIỂM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CB95" w14:textId="07FA7B53" w:rsidR="00561F21" w:rsidRDefault="00561F21" w:rsidP="0056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Ghi chú</w:t>
            </w:r>
          </w:p>
        </w:tc>
      </w:tr>
      <w:tr w:rsidR="00A30FDB" w14:paraId="641A9C40" w14:textId="403723F2" w:rsidTr="004E17A7">
        <w:trPr>
          <w:trHeight w:val="33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F5BBE" w14:textId="65C794DB" w:rsidR="00A30FDB" w:rsidRPr="00842477" w:rsidRDefault="00A30FD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5F4FE1" w14:textId="799D44AC" w:rsidR="00A30FDB" w:rsidRDefault="00A30FD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0001C" w14:textId="7A810A8B" w:rsidR="00A30FDB" w:rsidRPr="00A30FDB" w:rsidRDefault="00A30FDB" w:rsidP="00561F2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9132" w14:textId="77777777" w:rsidR="00A30FDB" w:rsidRDefault="00A30FDB" w:rsidP="00561F2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84BFF" w14:textId="3AA043EC" w:rsidR="00A30FDB" w:rsidRDefault="00A30FDB" w:rsidP="0056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ACB9D" w14:textId="5649CC9C" w:rsidR="00A30FDB" w:rsidRDefault="00A30FDB" w:rsidP="0056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561F21" w14:paraId="2EDAADEF" w14:textId="14FF8011" w:rsidTr="004E17A7">
        <w:trPr>
          <w:trHeight w:val="1014"/>
        </w:trPr>
        <w:tc>
          <w:tcPr>
            <w:tcW w:w="5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93690" w14:textId="77777777" w:rsidR="00561F21" w:rsidRDefault="0056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F210E" w14:textId="18AA5E62" w:rsidR="00561F21" w:rsidRDefault="00561F21" w:rsidP="00561F2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Website của đơn vị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DA4CF5" w14:textId="66ECD391" w:rsidR="00561F21" w:rsidRDefault="00A30FDB" w:rsidP="00561F2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401E8" w14:textId="7CD6BE68" w:rsidR="00561F21" w:rsidRDefault="00561F21" w:rsidP="00561F2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ĐV có địa chỉ website; Website thường xuyên hoạt động, tương tác, cập nhật thông tin, có đường link với website Phòng.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CF92C2" w14:textId="77777777" w:rsidR="00561F21" w:rsidRDefault="00561F21" w:rsidP="00561F2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 </w:t>
            </w:r>
            <w:r w:rsidRPr="00561F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 có website 0 đ;</w:t>
            </w:r>
          </w:p>
          <w:p w14:paraId="1C24B8D8" w14:textId="7001E0C5" w:rsidR="00561F21" w:rsidRDefault="00561F21" w:rsidP="00561F2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1F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</w:t>
            </w:r>
            <w:r w:rsidRPr="00561F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hông hoạt động thường xuyên trừ </w:t>
            </w:r>
            <w:r w:rsidR="00A3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561F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đ; </w:t>
            </w:r>
          </w:p>
          <w:p w14:paraId="7FCA09CD" w14:textId="3C9B2F3E" w:rsidR="00561F21" w:rsidRPr="00561F21" w:rsidRDefault="00561F21" w:rsidP="00A30FD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</w:t>
            </w:r>
            <w:r w:rsidRPr="00561F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hông liên kế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 với website của Phòng trừ </w:t>
            </w:r>
            <w:r w:rsidR="00A3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0D48F" w14:textId="133F9F36" w:rsidR="00561F21" w:rsidRDefault="00561F21" w:rsidP="0056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473EC" w14:paraId="5259E737" w14:textId="529FEA02" w:rsidTr="004E17A7">
        <w:trPr>
          <w:trHeight w:val="3135"/>
        </w:trPr>
        <w:tc>
          <w:tcPr>
            <w:tcW w:w="5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7BA24" w14:textId="77777777" w:rsidR="00A473EC" w:rsidRDefault="00A47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CA4C9" w14:textId="1F20163F" w:rsidR="00A473EC" w:rsidRDefault="00A473EC" w:rsidP="00561F2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Hoạt động Website của đơn vị và sự phối hợp truyền thông chặt chẽ với Phòng GDĐT; Chủ động quan hệ, phối hợp cung cấp thông tin cho báo chí; phản ánh về tình hình nhà trường, gương điển hình</w:t>
            </w:r>
            <w:r w:rsidR="00091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80B0B" w14:textId="444B791B" w:rsidR="00A473EC" w:rsidRDefault="00A473E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088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EDCA78" w14:textId="58B316DE" w:rsidR="00A473EC" w:rsidRDefault="00A473EC" w:rsidP="006C478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Đăng tải trên trang web của đơn vị: </w:t>
            </w:r>
          </w:p>
          <w:p w14:paraId="383DFEC7" w14:textId="45B1DD65" w:rsidR="00A473EC" w:rsidRDefault="00A473EC" w:rsidP="006C478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Đăng các văn bản tuyên truyền việc thực hiện đường lối, chính sách, pháp luật của Đảng và Nhà nước, những quy định của ngành và địa phương</w:t>
            </w:r>
            <w:r w:rsidR="00091E05">
              <w:rPr>
                <w:rFonts w:ascii="Times New Roman" w:eastAsia="Times New Roman" w:hAnsi="Times New Roman" w:cs="Times New Roman"/>
                <w:sz w:val="26"/>
                <w:szCs w:val="26"/>
              </w:rPr>
              <w:t>, của đơn vị…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theo quy định: 10 đ</w:t>
            </w:r>
          </w:p>
          <w:p w14:paraId="210A8538" w14:textId="4B1E89D5" w:rsidR="00A473EC" w:rsidRDefault="00A473EC" w:rsidP="00A473E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Đăng các bài viết về con người và hoạt động </w:t>
            </w:r>
            <w:r w:rsidR="00091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của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 : 10 điểm. Yêu cầu mỗi tháng có ít nhất 1 bài</w:t>
            </w:r>
          </w:p>
        </w:tc>
        <w:tc>
          <w:tcPr>
            <w:tcW w:w="25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233B8" w14:textId="0D771121" w:rsidR="00A473EC" w:rsidRPr="00A473EC" w:rsidRDefault="00A473EC" w:rsidP="00A473E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Pr="00A473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Đăng đầy đủ theo quy định: 10 điểm. </w:t>
            </w:r>
          </w:p>
          <w:p w14:paraId="32DC4A8A" w14:textId="2BD8D9CF" w:rsidR="00A473EC" w:rsidRDefault="00A473EC" w:rsidP="00561F2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Nếu thiếu 1 văn bản trừ 1 điểm.</w:t>
            </w:r>
          </w:p>
          <w:p w14:paraId="3928A43B" w14:textId="77777777" w:rsidR="00A473EC" w:rsidRDefault="00A473EC" w:rsidP="00561F2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61FBC4" w14:textId="77777777" w:rsidR="00091E05" w:rsidRDefault="00091E05" w:rsidP="00561F2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0FAC4D" w14:textId="6D9A880B" w:rsidR="00A473EC" w:rsidRDefault="00A473EC" w:rsidP="00561F2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Đăng đầy đủ </w:t>
            </w:r>
            <w:r w:rsidR="00091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lượng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cho 10 đ</w:t>
            </w:r>
          </w:p>
          <w:p w14:paraId="2BA572C9" w14:textId="1B912EAF" w:rsidR="00091E05" w:rsidRDefault="00A473EC" w:rsidP="00561F2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Tháng nào không đảm bảo trừ 1 đ/tháng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12BC9" w14:textId="3C5C8447" w:rsidR="00A473EC" w:rsidRDefault="00A473EC" w:rsidP="0056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61F21" w14:paraId="0C7920E5" w14:textId="350B9412" w:rsidTr="004E17A7">
        <w:trPr>
          <w:trHeight w:val="766"/>
        </w:trPr>
        <w:tc>
          <w:tcPr>
            <w:tcW w:w="5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F931A" w14:textId="77777777" w:rsidR="00561F21" w:rsidRDefault="0056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3B363E" w14:textId="77777777" w:rsidR="00561F21" w:rsidRDefault="0056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49819" w14:textId="67313097" w:rsidR="00561F21" w:rsidRPr="00AC4662" w:rsidRDefault="00A47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66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CD4A5" w14:textId="0157448E" w:rsidR="00561F21" w:rsidRDefault="00561F21" w:rsidP="00A473E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Số lượng bài gửi về Phòng:</w:t>
            </w:r>
            <w:r w:rsidR="00A47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Bình quân mỗi tháng có ít nhất 02 bài gửi qua Tổ chuyên môn cấp học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F1616" w14:textId="0BED9A89" w:rsidR="00561F21" w:rsidRDefault="00A473EC" w:rsidP="00A473E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Đủ số lượng: 20 đ</w:t>
            </w:r>
          </w:p>
          <w:p w14:paraId="63969BE6" w14:textId="354E2DEC" w:rsidR="00A473EC" w:rsidRPr="00A473EC" w:rsidRDefault="00A473EC" w:rsidP="00A473E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Thiếu 1 bài trừ 2 đ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4464" w14:textId="53BE776C" w:rsidR="00561F21" w:rsidRDefault="00561F21" w:rsidP="0056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61F21" w14:paraId="321D63AC" w14:textId="3FD65FF9" w:rsidTr="004E17A7">
        <w:trPr>
          <w:trHeight w:val="990"/>
        </w:trPr>
        <w:tc>
          <w:tcPr>
            <w:tcW w:w="5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0754A" w14:textId="4B1F069C" w:rsidR="00561F21" w:rsidRDefault="0056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09EBE" w14:textId="77777777" w:rsidR="00561F21" w:rsidRDefault="0056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EC4F6" w14:textId="4CF83C6E" w:rsidR="00561F21" w:rsidRPr="00AC4662" w:rsidRDefault="00A3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66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6CE4A" w14:textId="2AFA491A" w:rsidR="00561F21" w:rsidRDefault="00561F21" w:rsidP="00A30FD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A47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ài đăng trên Website của Phòng</w:t>
            </w:r>
            <w:r w:rsidR="00A3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GDĐT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A3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đài, </w:t>
            </w:r>
            <w:r w:rsidR="00A47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báo, các trang mạng </w:t>
            </w:r>
            <w:r w:rsidR="00A30F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 thống</w:t>
            </w:r>
            <w:r w:rsidR="00A47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của huyện 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4E30B" w14:textId="5D7CC916" w:rsidR="00561F21" w:rsidRDefault="00A30FDB" w:rsidP="00A30FD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01 bài được đăng:  5 đ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B4A4" w14:textId="154DF0FE" w:rsidR="00561F21" w:rsidRDefault="00561F21" w:rsidP="00561F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30FDB" w14:paraId="2769288A" w14:textId="6A9720D7" w:rsidTr="004E17A7">
        <w:trPr>
          <w:trHeight w:val="990"/>
        </w:trPr>
        <w:tc>
          <w:tcPr>
            <w:tcW w:w="5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802AB" w14:textId="77777777" w:rsidR="00A30FDB" w:rsidRDefault="00A3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B4437" w14:textId="77777777" w:rsidR="00A30FDB" w:rsidRDefault="00A3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E2A1" w14:textId="2FCB0CD2" w:rsidR="00A30FDB" w:rsidRPr="00AC4662" w:rsidRDefault="00A3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466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6B960" w14:textId="2BB8A513" w:rsidR="00A30FDB" w:rsidRDefault="00A30FDB" w:rsidP="00091E0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Bài gửi đi và được đăng trên Website của Sở GDĐT; báo đài của tỉnh và các  báo, mạng, đài cấp trung ương được sự đồng ý của Phòng GDĐT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0A0147" w14:textId="65A197E7" w:rsidR="00A30FDB" w:rsidRDefault="00A30FDB" w:rsidP="00A30FD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Bài được </w:t>
            </w:r>
            <w:r w:rsidR="00091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GDĐT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 gửi đi: 5 đ</w:t>
            </w:r>
          </w:p>
          <w:p w14:paraId="04024B5B" w14:textId="0B54FBBA" w:rsidR="00A30FDB" w:rsidRDefault="00A30FDB" w:rsidP="00A30FD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được đăng: 10 đ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D7C9" w14:textId="77777777" w:rsidR="00A30FDB" w:rsidRDefault="00A30FD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8F889E4" w14:textId="4A0A787D" w:rsidR="00FF621B" w:rsidRDefault="00C1270C">
      <w:pPr>
        <w:spacing w:before="100" w:after="0" w:line="264" w:lineRule="auto"/>
        <w:ind w:right="-136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562A0">
        <w:rPr>
          <w:rFonts w:ascii="Times New Roman" w:eastAsia="Times New Roman" w:hAnsi="Times New Roman" w:cs="Times New Roman"/>
          <w:b/>
          <w:i/>
          <w:sz w:val="28"/>
          <w:szCs w:val="28"/>
        </w:rPr>
        <w:t>Lưu 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381FE6D" w14:textId="65F35E78" w:rsidR="00302DDA" w:rsidRDefault="00302DDA">
      <w:pPr>
        <w:spacing w:before="100" w:after="0" w:line="264" w:lineRule="auto"/>
        <w:ind w:right="-136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Các trường trong tốp đầu phải có các bài đăng trên trang web của cấp trên (Phòng GDĐT, Sở GDĐT…) từ 2-3 bài /năm.</w:t>
      </w:r>
    </w:p>
    <w:p w14:paraId="0AF906AA" w14:textId="435CB925" w:rsidR="00302DDA" w:rsidRDefault="00302DDA" w:rsidP="00AC4662">
      <w:pPr>
        <w:spacing w:before="100" w:after="0" w:line="264" w:lineRule="auto"/>
        <w:ind w:right="-136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Các đơn vị cung cấp thông tin đăng trên báo chí Trung ương và địa phương</w:t>
      </w:r>
      <w:r w:rsidR="002646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phải báo cáo xin ý kiến của Phòng GDĐT trước khi cung cấp thông tin cho báo chí.</w:t>
      </w:r>
    </w:p>
    <w:p w14:paraId="57379196" w14:textId="05B940FC" w:rsidR="00AC4662" w:rsidRDefault="00AC4662" w:rsidP="00AC4662">
      <w:pPr>
        <w:spacing w:before="100" w:after="0" w:line="264" w:lineRule="auto"/>
        <w:ind w:right="-136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Hàng tháng các tổ chuyên môn </w:t>
      </w:r>
      <w:r w:rsidR="00091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nhận bài của các nhà trường hướng dẫn các đơn vị chỉnh sửa và chọn bài gửi đăng cho đc Sơn; đầu hàng tháng các tổ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sẽ thống kê bài các trường gửi </w:t>
      </w:r>
      <w:r w:rsidR="00091E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tháng trước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về cho đồng Sơn vào các ngày họp triển khai công tác tháng.</w:t>
      </w:r>
    </w:p>
    <w:p w14:paraId="0EBD27C8" w14:textId="77777777" w:rsidR="00AC4662" w:rsidRPr="005431DF" w:rsidRDefault="00AC4662">
      <w:pPr>
        <w:spacing w:before="100" w:after="0" w:line="264" w:lineRule="auto"/>
        <w:ind w:right="-136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sectPr w:rsidR="00AC4662" w:rsidRPr="005431DF">
      <w:headerReference w:type="default" r:id="rId8"/>
      <w:pgSz w:w="16840" w:h="11907" w:orient="landscape"/>
      <w:pgMar w:top="907" w:right="624" w:bottom="907" w:left="119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05AE2" w14:textId="77777777" w:rsidR="000A02DC" w:rsidRDefault="000A02DC">
      <w:pPr>
        <w:spacing w:after="0" w:line="240" w:lineRule="auto"/>
      </w:pPr>
      <w:r>
        <w:separator/>
      </w:r>
    </w:p>
  </w:endnote>
  <w:endnote w:type="continuationSeparator" w:id="0">
    <w:p w14:paraId="6F12A15C" w14:textId="77777777" w:rsidR="000A02DC" w:rsidRDefault="000A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26C0E" w14:textId="77777777" w:rsidR="000A02DC" w:rsidRDefault="000A02DC">
      <w:pPr>
        <w:spacing w:after="0" w:line="240" w:lineRule="auto"/>
      </w:pPr>
      <w:r>
        <w:separator/>
      </w:r>
    </w:p>
  </w:footnote>
  <w:footnote w:type="continuationSeparator" w:id="0">
    <w:p w14:paraId="7CA3186C" w14:textId="77777777" w:rsidR="000A02DC" w:rsidRDefault="000A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8CC76" w14:textId="0C05DB56" w:rsidR="00FF621B" w:rsidRDefault="00C127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C005B5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18A8B498" w14:textId="77777777" w:rsidR="00FF621B" w:rsidRDefault="00FF62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D0"/>
    <w:multiLevelType w:val="multilevel"/>
    <w:tmpl w:val="5E9022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DC665F"/>
    <w:multiLevelType w:val="hybridMultilevel"/>
    <w:tmpl w:val="1532668A"/>
    <w:lvl w:ilvl="0" w:tplc="73483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1A87"/>
    <w:multiLevelType w:val="hybridMultilevel"/>
    <w:tmpl w:val="C6A2D648"/>
    <w:lvl w:ilvl="0" w:tplc="721E57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72BF"/>
    <w:multiLevelType w:val="multilevel"/>
    <w:tmpl w:val="A62C77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074B37"/>
    <w:multiLevelType w:val="hybridMultilevel"/>
    <w:tmpl w:val="860AB74C"/>
    <w:lvl w:ilvl="0" w:tplc="109CA1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4042"/>
    <w:multiLevelType w:val="hybridMultilevel"/>
    <w:tmpl w:val="953CBF0C"/>
    <w:lvl w:ilvl="0" w:tplc="8CCE1C0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839E4"/>
    <w:multiLevelType w:val="multilevel"/>
    <w:tmpl w:val="4FB683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927B87"/>
    <w:multiLevelType w:val="multilevel"/>
    <w:tmpl w:val="729EB6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0C0DE2"/>
    <w:multiLevelType w:val="multilevel"/>
    <w:tmpl w:val="706406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4C5967"/>
    <w:multiLevelType w:val="multilevel"/>
    <w:tmpl w:val="339400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B4071A1"/>
    <w:multiLevelType w:val="multilevel"/>
    <w:tmpl w:val="DE922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53156D"/>
    <w:multiLevelType w:val="multilevel"/>
    <w:tmpl w:val="49B633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D997657"/>
    <w:multiLevelType w:val="multilevel"/>
    <w:tmpl w:val="967816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E7D3BD3"/>
    <w:multiLevelType w:val="multilevel"/>
    <w:tmpl w:val="A86E03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FF2231F"/>
    <w:multiLevelType w:val="multilevel"/>
    <w:tmpl w:val="051ECD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7FF63C3"/>
    <w:multiLevelType w:val="multilevel"/>
    <w:tmpl w:val="15B4E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2E6466"/>
    <w:multiLevelType w:val="multilevel"/>
    <w:tmpl w:val="B2A29B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DF822EA"/>
    <w:multiLevelType w:val="multilevel"/>
    <w:tmpl w:val="39944F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F9F78DA"/>
    <w:multiLevelType w:val="hybridMultilevel"/>
    <w:tmpl w:val="13C829B2"/>
    <w:lvl w:ilvl="0" w:tplc="867236C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D6E449F"/>
    <w:multiLevelType w:val="hybridMultilevel"/>
    <w:tmpl w:val="F4F0488C"/>
    <w:lvl w:ilvl="0" w:tplc="A686E1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74E2"/>
    <w:multiLevelType w:val="multilevel"/>
    <w:tmpl w:val="C8FADA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55F7370C"/>
    <w:multiLevelType w:val="multilevel"/>
    <w:tmpl w:val="E7DEAE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A6F2E7F"/>
    <w:multiLevelType w:val="multilevel"/>
    <w:tmpl w:val="D564F0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08C14B6"/>
    <w:multiLevelType w:val="hybridMultilevel"/>
    <w:tmpl w:val="F3107306"/>
    <w:lvl w:ilvl="0" w:tplc="4DEAA2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65B65"/>
    <w:multiLevelType w:val="multilevel"/>
    <w:tmpl w:val="13FE3A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C8326C2"/>
    <w:multiLevelType w:val="multilevel"/>
    <w:tmpl w:val="13E810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F916017"/>
    <w:multiLevelType w:val="multilevel"/>
    <w:tmpl w:val="48B0F6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B92604B"/>
    <w:multiLevelType w:val="hybridMultilevel"/>
    <w:tmpl w:val="3D62577A"/>
    <w:lvl w:ilvl="0" w:tplc="ABA6AB6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15814">
    <w:abstractNumId w:val="21"/>
  </w:num>
  <w:num w:numId="2" w16cid:durableId="1118379159">
    <w:abstractNumId w:val="3"/>
  </w:num>
  <w:num w:numId="3" w16cid:durableId="32853516">
    <w:abstractNumId w:val="22"/>
  </w:num>
  <w:num w:numId="4" w16cid:durableId="829515377">
    <w:abstractNumId w:val="13"/>
  </w:num>
  <w:num w:numId="5" w16cid:durableId="673187698">
    <w:abstractNumId w:val="17"/>
  </w:num>
  <w:num w:numId="6" w16cid:durableId="730351691">
    <w:abstractNumId w:val="26"/>
  </w:num>
  <w:num w:numId="7" w16cid:durableId="1315598137">
    <w:abstractNumId w:val="11"/>
  </w:num>
  <w:num w:numId="8" w16cid:durableId="117769087">
    <w:abstractNumId w:val="9"/>
  </w:num>
  <w:num w:numId="9" w16cid:durableId="361832478">
    <w:abstractNumId w:val="7"/>
  </w:num>
  <w:num w:numId="10" w16cid:durableId="533274332">
    <w:abstractNumId w:val="20"/>
  </w:num>
  <w:num w:numId="11" w16cid:durableId="1856654548">
    <w:abstractNumId w:val="15"/>
  </w:num>
  <w:num w:numId="12" w16cid:durableId="58403947">
    <w:abstractNumId w:val="12"/>
  </w:num>
  <w:num w:numId="13" w16cid:durableId="1300918835">
    <w:abstractNumId w:val="24"/>
  </w:num>
  <w:num w:numId="14" w16cid:durableId="104692860">
    <w:abstractNumId w:val="16"/>
  </w:num>
  <w:num w:numId="15" w16cid:durableId="378667904">
    <w:abstractNumId w:val="25"/>
  </w:num>
  <w:num w:numId="16" w16cid:durableId="1866673614">
    <w:abstractNumId w:val="0"/>
  </w:num>
  <w:num w:numId="17" w16cid:durableId="783576014">
    <w:abstractNumId w:val="14"/>
  </w:num>
  <w:num w:numId="18" w16cid:durableId="557589481">
    <w:abstractNumId w:val="10"/>
  </w:num>
  <w:num w:numId="19" w16cid:durableId="1151093050">
    <w:abstractNumId w:val="8"/>
  </w:num>
  <w:num w:numId="20" w16cid:durableId="240415097">
    <w:abstractNumId w:val="6"/>
  </w:num>
  <w:num w:numId="21" w16cid:durableId="1342047185">
    <w:abstractNumId w:val="18"/>
  </w:num>
  <w:num w:numId="22" w16cid:durableId="535626373">
    <w:abstractNumId w:val="4"/>
  </w:num>
  <w:num w:numId="23" w16cid:durableId="980692098">
    <w:abstractNumId w:val="23"/>
  </w:num>
  <w:num w:numId="24" w16cid:durableId="1070231440">
    <w:abstractNumId w:val="1"/>
  </w:num>
  <w:num w:numId="25" w16cid:durableId="44137806">
    <w:abstractNumId w:val="2"/>
  </w:num>
  <w:num w:numId="26" w16cid:durableId="292106111">
    <w:abstractNumId w:val="19"/>
  </w:num>
  <w:num w:numId="27" w16cid:durableId="2019694073">
    <w:abstractNumId w:val="27"/>
  </w:num>
  <w:num w:numId="28" w16cid:durableId="2019112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1B"/>
    <w:rsid w:val="00001E11"/>
    <w:rsid w:val="00091E05"/>
    <w:rsid w:val="000A02DC"/>
    <w:rsid w:val="00212A2B"/>
    <w:rsid w:val="002562A0"/>
    <w:rsid w:val="0026463E"/>
    <w:rsid w:val="00302DDA"/>
    <w:rsid w:val="003432D9"/>
    <w:rsid w:val="003A3438"/>
    <w:rsid w:val="003B77D0"/>
    <w:rsid w:val="004E17A7"/>
    <w:rsid w:val="005431DF"/>
    <w:rsid w:val="00561F21"/>
    <w:rsid w:val="005D55EA"/>
    <w:rsid w:val="006C4617"/>
    <w:rsid w:val="006C4782"/>
    <w:rsid w:val="006E7C9A"/>
    <w:rsid w:val="00823039"/>
    <w:rsid w:val="00842477"/>
    <w:rsid w:val="008D17CD"/>
    <w:rsid w:val="00A30FDB"/>
    <w:rsid w:val="00A473EC"/>
    <w:rsid w:val="00A83D1B"/>
    <w:rsid w:val="00AC4662"/>
    <w:rsid w:val="00C005B5"/>
    <w:rsid w:val="00C1270C"/>
    <w:rsid w:val="00FF07AB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43FA"/>
  <w15:docId w15:val="{6E7224BC-FD37-4534-BACF-644D9B53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E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35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9E4"/>
  </w:style>
  <w:style w:type="paragraph" w:styleId="Footer">
    <w:name w:val="footer"/>
    <w:basedOn w:val="Normal"/>
    <w:link w:val="FooterChar"/>
    <w:uiPriority w:val="99"/>
    <w:unhideWhenUsed/>
    <w:rsid w:val="00D35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9E4"/>
  </w:style>
  <w:style w:type="character" w:customStyle="1" w:styleId="fontstyle01">
    <w:name w:val="fontstyle01"/>
    <w:basedOn w:val="DefaultParagraphFont"/>
    <w:rsid w:val="00AE126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D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izeZSMGvM7XaieTK9ZSQy+EJw==">AMUW2mXlr1HJVYln4ldQ6uGp2/cqGxMeWsH2dv3vmwo+z43lYJBhFIORYbqfJyxml4BulabaGUs2ZRBwS5X9nX7a192SbQE3CfygjBYgXxu4JSQ4AhoEL9cfBjN8S7VZqpKLP1DJ5eQh0K1A9SU2iabtRyDSunnErMaCyNTXyBe4P6h0sHvIfKOKCBPOnB0BRoVLzKkHpBK4kWNlN2nrw7HfeaklBidCJQ==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2022-09-09T07:53:00Z</cp:lastPrinted>
  <dcterms:created xsi:type="dcterms:W3CDTF">2022-09-09T07:53:00Z</dcterms:created>
  <dcterms:modified xsi:type="dcterms:W3CDTF">2024-08-23T03:28:00Z</dcterms:modified>
</cp:coreProperties>
</file>